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B0" w:rsidRDefault="00373EB0" w:rsidP="00373EB0">
      <w:pPr>
        <w:jc w:val="center"/>
        <w:rPr>
          <w:b/>
          <w:bCs/>
          <w:sz w:val="34"/>
          <w:szCs w:val="34"/>
        </w:rPr>
      </w:pPr>
      <w:r w:rsidRPr="00EB1A96">
        <w:rPr>
          <w:rFonts w:hint="eastAsia"/>
          <w:b/>
          <w:bCs/>
          <w:sz w:val="34"/>
          <w:szCs w:val="34"/>
        </w:rPr>
        <w:t>防　　災　　計　　画</w:t>
      </w:r>
    </w:p>
    <w:p w:rsidR="00373EB0" w:rsidRDefault="00373EB0" w:rsidP="00373EB0">
      <w:pPr>
        <w:rPr>
          <w:sz w:val="24"/>
        </w:rPr>
      </w:pPr>
    </w:p>
    <w:p w:rsidR="00373EB0" w:rsidRDefault="00373EB0" w:rsidP="00373EB0">
      <w:pPr>
        <w:rPr>
          <w:sz w:val="24"/>
        </w:rPr>
      </w:pPr>
      <w:r>
        <w:rPr>
          <w:rFonts w:hint="eastAsia"/>
          <w:sz w:val="24"/>
        </w:rPr>
        <w:t>１　目的</w:t>
      </w:r>
    </w:p>
    <w:p w:rsidR="00373EB0" w:rsidRDefault="00373EB0" w:rsidP="00373EB0">
      <w:pPr>
        <w:spacing w:afterLines="50" w:after="161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この計画は、</w:t>
      </w:r>
      <w:r w:rsidRPr="00DF3CBE">
        <w:rPr>
          <w:rFonts w:hint="eastAsia"/>
          <w:b/>
          <w:color w:val="FF0000"/>
          <w:sz w:val="24"/>
          <w:u w:val="single" w:color="000000"/>
        </w:rPr>
        <w:t xml:space="preserve">　　　　　　　　　　　　</w:t>
      </w:r>
      <w:r>
        <w:rPr>
          <w:rFonts w:hint="eastAsia"/>
          <w:sz w:val="24"/>
        </w:rPr>
        <w:t>自主防災組織の防災活動に必要な事項を定め、もって、災害（風水害、地震、火災等をいう。）の予防及び災害による被害の軽減を図ることを目的とする</w:t>
      </w:r>
    </w:p>
    <w:p w:rsidR="00373EB0" w:rsidRDefault="00373EB0" w:rsidP="00373EB0">
      <w:pPr>
        <w:rPr>
          <w:sz w:val="24"/>
        </w:rPr>
      </w:pPr>
      <w:r>
        <w:rPr>
          <w:rFonts w:hint="eastAsia"/>
          <w:sz w:val="24"/>
        </w:rPr>
        <w:t>２　防災組織</w:t>
      </w:r>
    </w:p>
    <w:p w:rsidR="00373EB0" w:rsidRDefault="00373EB0" w:rsidP="00373EB0">
      <w:pPr>
        <w:rPr>
          <w:sz w:val="24"/>
        </w:rPr>
      </w:pPr>
      <w:r>
        <w:rPr>
          <w:rFonts w:hint="eastAsia"/>
          <w:sz w:val="24"/>
        </w:rPr>
        <w:t xml:space="preserve">　　自治会の組織を併用する。</w:t>
      </w:r>
    </w:p>
    <w:p w:rsidR="00373EB0" w:rsidRPr="005564A7" w:rsidRDefault="00373EB0" w:rsidP="00373EB0">
      <w:pPr>
        <w:rPr>
          <w:sz w:val="24"/>
        </w:rPr>
      </w:pPr>
    </w:p>
    <w:p w:rsidR="00373EB0" w:rsidRDefault="00373EB0" w:rsidP="00373EB0">
      <w:pPr>
        <w:rPr>
          <w:sz w:val="24"/>
        </w:rPr>
      </w:pPr>
      <w:r>
        <w:rPr>
          <w:rFonts w:hint="eastAsia"/>
          <w:sz w:val="24"/>
        </w:rPr>
        <w:t>３　防災組織の業務概要</w:t>
      </w:r>
    </w:p>
    <w:p w:rsidR="00373EB0" w:rsidRDefault="00373EB0" w:rsidP="00373EB0">
      <w:pPr>
        <w:ind w:leftChars="100" w:left="210" w:firstLineChars="100" w:firstLine="240"/>
        <w:rPr>
          <w:sz w:val="24"/>
          <w:shd w:val="pct15" w:color="auto" w:fill="FFFFFF"/>
        </w:rPr>
      </w:pPr>
      <w:r>
        <w:rPr>
          <w:rFonts w:hint="eastAsia"/>
          <w:sz w:val="24"/>
        </w:rPr>
        <w:t>自助（自分の命は自分で守る）、共助（自分たちの命は自分たちで守る）の必要性について、自治会全体で共有することを基本とし、</w:t>
      </w:r>
      <w:r w:rsidRPr="00406266">
        <w:rPr>
          <w:rFonts w:hint="eastAsia"/>
          <w:sz w:val="24"/>
        </w:rPr>
        <w:t>定例行事及び自治会内の掲示板や回覧板を有効に活用することで、できるだけ負担軽減を図った防災活動に取り組むのもとする。</w:t>
      </w:r>
    </w:p>
    <w:p w:rsidR="00373EB0" w:rsidRPr="0048020A" w:rsidRDefault="00373EB0" w:rsidP="00373EB0">
      <w:pPr>
        <w:ind w:leftChars="100" w:left="210" w:firstLineChars="100" w:firstLine="240"/>
        <w:rPr>
          <w:sz w:val="24"/>
        </w:rPr>
      </w:pPr>
      <w:r w:rsidRPr="00720A6C">
        <w:rPr>
          <w:rFonts w:hint="eastAsia"/>
          <w:sz w:val="24"/>
        </w:rPr>
        <w:t>なお、</w:t>
      </w:r>
      <w:r>
        <w:rPr>
          <w:rFonts w:hint="eastAsia"/>
          <w:sz w:val="24"/>
        </w:rPr>
        <w:t>将来的には、下表を参考としながら、自治会活動の中で、出来ることから始め、年々充実した組織活動を目指すものとする。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3879"/>
      </w:tblGrid>
      <w:tr w:rsidR="00373EB0" w:rsidTr="003603A4">
        <w:tc>
          <w:tcPr>
            <w:tcW w:w="1440" w:type="dxa"/>
          </w:tcPr>
          <w:p w:rsidR="00373EB0" w:rsidRPr="00674FE3" w:rsidRDefault="00373EB0" w:rsidP="003603A4">
            <w:pPr>
              <w:spacing w:line="280" w:lineRule="exact"/>
              <w:ind w:firstLineChars="100" w:firstLine="240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業　務</w:t>
            </w:r>
          </w:p>
        </w:tc>
        <w:tc>
          <w:tcPr>
            <w:tcW w:w="3960" w:type="dxa"/>
          </w:tcPr>
          <w:p w:rsidR="00373EB0" w:rsidRPr="00674FE3" w:rsidRDefault="00373EB0" w:rsidP="003603A4">
            <w:pPr>
              <w:spacing w:line="280" w:lineRule="exact"/>
              <w:ind w:firstLineChars="200" w:firstLine="480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平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常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時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の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活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動</w:t>
            </w:r>
          </w:p>
        </w:tc>
        <w:tc>
          <w:tcPr>
            <w:tcW w:w="3879" w:type="dxa"/>
          </w:tcPr>
          <w:p w:rsidR="00373EB0" w:rsidRPr="00674FE3" w:rsidRDefault="00373EB0" w:rsidP="003603A4">
            <w:pPr>
              <w:spacing w:line="280" w:lineRule="exact"/>
              <w:ind w:firstLineChars="100" w:firstLine="240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災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害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時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の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活</w:t>
            </w:r>
            <w:r w:rsidRPr="00674FE3">
              <w:rPr>
                <w:rFonts w:hint="eastAsia"/>
                <w:sz w:val="24"/>
              </w:rPr>
              <w:t xml:space="preserve">  </w:t>
            </w:r>
            <w:r w:rsidRPr="00674FE3">
              <w:rPr>
                <w:rFonts w:hint="eastAsia"/>
                <w:sz w:val="24"/>
              </w:rPr>
              <w:t>動</w:t>
            </w:r>
          </w:p>
        </w:tc>
      </w:tr>
      <w:tr w:rsidR="00373EB0" w:rsidTr="003603A4">
        <w:trPr>
          <w:trHeight w:val="537"/>
        </w:trPr>
        <w:tc>
          <w:tcPr>
            <w:tcW w:w="1440" w:type="dxa"/>
          </w:tcPr>
          <w:p w:rsidR="00373EB0" w:rsidRPr="00674FE3" w:rsidRDefault="00373EB0" w:rsidP="003603A4">
            <w:p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連絡調整</w:t>
            </w:r>
          </w:p>
        </w:tc>
        <w:tc>
          <w:tcPr>
            <w:tcW w:w="3960" w:type="dxa"/>
          </w:tcPr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連絡体制の整備</w:t>
            </w:r>
          </w:p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資機材の整備と管理</w:t>
            </w:r>
          </w:p>
        </w:tc>
        <w:tc>
          <w:tcPr>
            <w:tcW w:w="3879" w:type="dxa"/>
          </w:tcPr>
          <w:p w:rsidR="00373EB0" w:rsidRPr="003310BD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防災関係機関との連絡調整</w:t>
            </w:r>
          </w:p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資機材の配布</w:t>
            </w:r>
          </w:p>
        </w:tc>
      </w:tr>
      <w:tr w:rsidR="00373EB0" w:rsidTr="003603A4">
        <w:tc>
          <w:tcPr>
            <w:tcW w:w="1440" w:type="dxa"/>
          </w:tcPr>
          <w:p w:rsidR="00373EB0" w:rsidRPr="00674FE3" w:rsidRDefault="00373EB0" w:rsidP="003603A4">
            <w:p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情報収集</w:t>
            </w:r>
          </w:p>
          <w:p w:rsidR="00373EB0" w:rsidRPr="00674FE3" w:rsidRDefault="00373EB0" w:rsidP="003603A4">
            <w:pPr>
              <w:spacing w:line="280" w:lineRule="exact"/>
              <w:rPr>
                <w:sz w:val="24"/>
              </w:rPr>
            </w:pPr>
          </w:p>
        </w:tc>
        <w:tc>
          <w:tcPr>
            <w:tcW w:w="3960" w:type="dxa"/>
          </w:tcPr>
          <w:p w:rsidR="00373EB0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情報の収集・伝達訓練</w:t>
            </w:r>
          </w:p>
          <w:p w:rsidR="00373EB0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危険箇所の把握</w:t>
            </w:r>
          </w:p>
          <w:p w:rsidR="00373EB0" w:rsidRPr="00CA7D3A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避難困難者の把握</w:t>
            </w:r>
          </w:p>
        </w:tc>
        <w:tc>
          <w:tcPr>
            <w:tcW w:w="3879" w:type="dxa"/>
          </w:tcPr>
          <w:p w:rsidR="00373EB0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テレビやラジオ等からの</w:t>
            </w:r>
          </w:p>
          <w:p w:rsidR="00373EB0" w:rsidRPr="00674FE3" w:rsidRDefault="00373EB0" w:rsidP="003603A4">
            <w:pPr>
              <w:spacing w:line="28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情報</w:t>
            </w:r>
            <w:r w:rsidRPr="00674FE3">
              <w:rPr>
                <w:rFonts w:hint="eastAsia"/>
                <w:sz w:val="24"/>
              </w:rPr>
              <w:t>収集及び伝達</w:t>
            </w:r>
          </w:p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避難勧告等の伝達</w:t>
            </w:r>
          </w:p>
        </w:tc>
      </w:tr>
      <w:tr w:rsidR="00373EB0" w:rsidTr="003603A4">
        <w:tc>
          <w:tcPr>
            <w:tcW w:w="1440" w:type="dxa"/>
          </w:tcPr>
          <w:p w:rsidR="00373EB0" w:rsidRPr="00674FE3" w:rsidRDefault="00373EB0" w:rsidP="003603A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減災活動</w:t>
            </w:r>
          </w:p>
          <w:p w:rsidR="00373EB0" w:rsidRPr="00674FE3" w:rsidRDefault="00373EB0" w:rsidP="003603A4">
            <w:pPr>
              <w:spacing w:line="280" w:lineRule="exact"/>
              <w:rPr>
                <w:sz w:val="24"/>
              </w:rPr>
            </w:pPr>
          </w:p>
        </w:tc>
        <w:tc>
          <w:tcPr>
            <w:tcW w:w="3960" w:type="dxa"/>
          </w:tcPr>
          <w:p w:rsidR="00373EB0" w:rsidRPr="00A11F68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防災知識の普及</w:t>
            </w:r>
          </w:p>
          <w:p w:rsidR="00373EB0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出火防止の呼びかけ</w:t>
            </w:r>
          </w:p>
          <w:p w:rsidR="00373EB0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消火及び応急手当訓練</w:t>
            </w:r>
          </w:p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避難路、避難所（場所）の周知</w:t>
            </w:r>
          </w:p>
          <w:p w:rsidR="00373EB0" w:rsidRPr="00A11F68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避難訓練への参加要請</w:t>
            </w:r>
          </w:p>
        </w:tc>
        <w:tc>
          <w:tcPr>
            <w:tcW w:w="3879" w:type="dxa"/>
          </w:tcPr>
          <w:p w:rsidR="00373EB0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初期消火活動</w:t>
            </w:r>
          </w:p>
          <w:p w:rsidR="00373EB0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負傷者及び高齢者等の救護</w:t>
            </w:r>
          </w:p>
          <w:p w:rsidR="00373EB0" w:rsidRDefault="00373EB0" w:rsidP="003603A4">
            <w:pPr>
              <w:spacing w:line="28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</w:p>
          <w:p w:rsidR="00373EB0" w:rsidRPr="00E136E7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避難者の支援及び介助</w:t>
            </w:r>
          </w:p>
        </w:tc>
      </w:tr>
      <w:tr w:rsidR="00373EB0" w:rsidTr="003603A4">
        <w:tc>
          <w:tcPr>
            <w:tcW w:w="1440" w:type="dxa"/>
          </w:tcPr>
          <w:p w:rsidR="00373EB0" w:rsidRPr="00674FE3" w:rsidRDefault="00373EB0" w:rsidP="003603A4">
            <w:p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給食給水</w:t>
            </w:r>
          </w:p>
        </w:tc>
        <w:tc>
          <w:tcPr>
            <w:tcW w:w="3960" w:type="dxa"/>
          </w:tcPr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炊き出し訓練</w:t>
            </w:r>
          </w:p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給水訓練</w:t>
            </w:r>
          </w:p>
        </w:tc>
        <w:tc>
          <w:tcPr>
            <w:tcW w:w="3879" w:type="dxa"/>
          </w:tcPr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給食活動</w:t>
            </w:r>
          </w:p>
          <w:p w:rsidR="00373EB0" w:rsidRPr="00674FE3" w:rsidRDefault="00373EB0" w:rsidP="003603A4">
            <w:pPr>
              <w:numPr>
                <w:ilvl w:val="0"/>
                <w:numId w:val="1"/>
              </w:numPr>
              <w:spacing w:line="280" w:lineRule="exact"/>
              <w:rPr>
                <w:sz w:val="24"/>
              </w:rPr>
            </w:pPr>
            <w:r w:rsidRPr="00674FE3">
              <w:rPr>
                <w:rFonts w:hint="eastAsia"/>
                <w:sz w:val="24"/>
              </w:rPr>
              <w:t>給水活動</w:t>
            </w:r>
          </w:p>
        </w:tc>
      </w:tr>
    </w:tbl>
    <w:p w:rsidR="00373EB0" w:rsidRPr="00CD0565" w:rsidRDefault="00373EB0" w:rsidP="00373EB0">
      <w:pPr>
        <w:rPr>
          <w:sz w:val="24"/>
        </w:rPr>
      </w:pPr>
    </w:p>
    <w:p w:rsidR="00373EB0" w:rsidRDefault="00373EB0" w:rsidP="00373EB0">
      <w:pPr>
        <w:tabs>
          <w:tab w:val="left" w:pos="720"/>
        </w:tabs>
        <w:rPr>
          <w:sz w:val="24"/>
        </w:rPr>
      </w:pPr>
      <w:r>
        <w:rPr>
          <w:rFonts w:hint="eastAsia"/>
          <w:sz w:val="24"/>
        </w:rPr>
        <w:t>４　近隣の指定避難所</w:t>
      </w:r>
    </w:p>
    <w:p w:rsidR="00373EB0" w:rsidRPr="006C0B3E" w:rsidRDefault="00373EB0" w:rsidP="00373EB0">
      <w:pPr>
        <w:numPr>
          <w:ilvl w:val="0"/>
          <w:numId w:val="1"/>
        </w:numPr>
        <w:rPr>
          <w:b/>
          <w:sz w:val="24"/>
        </w:rPr>
      </w:pPr>
      <w:r w:rsidRPr="00DF3CBE">
        <w:rPr>
          <w:rFonts w:hint="eastAsia"/>
          <w:b/>
          <w:sz w:val="24"/>
          <w:u w:val="single" w:color="000000"/>
        </w:rPr>
        <w:t xml:space="preserve">　　　　　　　　　　　　　</w:t>
      </w:r>
    </w:p>
    <w:p w:rsidR="00373EB0" w:rsidRPr="006C0B3E" w:rsidRDefault="00373EB0" w:rsidP="00373EB0">
      <w:pPr>
        <w:numPr>
          <w:ilvl w:val="0"/>
          <w:numId w:val="1"/>
        </w:numPr>
        <w:rPr>
          <w:b/>
          <w:sz w:val="24"/>
        </w:rPr>
      </w:pPr>
      <w:r w:rsidRPr="00DF3CBE">
        <w:rPr>
          <w:rFonts w:hint="eastAsia"/>
          <w:b/>
          <w:sz w:val="24"/>
          <w:u w:val="single" w:color="000000"/>
        </w:rPr>
        <w:t xml:space="preserve">　　　　　　　　　　　　　</w:t>
      </w:r>
    </w:p>
    <w:p w:rsidR="00373EB0" w:rsidRPr="002F65C7" w:rsidRDefault="00373EB0" w:rsidP="00373EB0">
      <w:pPr>
        <w:rPr>
          <w:b/>
          <w:color w:val="FF0000"/>
          <w:sz w:val="24"/>
        </w:rPr>
      </w:pPr>
    </w:p>
    <w:p w:rsidR="00373EB0" w:rsidRDefault="00373EB0" w:rsidP="00373EB0">
      <w:pPr>
        <w:rPr>
          <w:sz w:val="24"/>
        </w:rPr>
      </w:pPr>
    </w:p>
    <w:p w:rsidR="00373EB0" w:rsidRDefault="00373EB0" w:rsidP="00373EB0">
      <w:pPr>
        <w:rPr>
          <w:sz w:val="24"/>
        </w:rPr>
      </w:pPr>
      <w:r>
        <w:rPr>
          <w:rFonts w:hint="eastAsia"/>
          <w:sz w:val="24"/>
        </w:rPr>
        <w:t>５　防災資機材等</w:t>
      </w:r>
    </w:p>
    <w:p w:rsidR="00373EB0" w:rsidRDefault="00373EB0" w:rsidP="00373EB0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配備計画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893"/>
        <w:gridCol w:w="1071"/>
        <w:gridCol w:w="1071"/>
        <w:gridCol w:w="1781"/>
        <w:gridCol w:w="894"/>
        <w:gridCol w:w="1071"/>
        <w:gridCol w:w="1071"/>
      </w:tblGrid>
      <w:tr w:rsidR="00373EB0" w:rsidTr="003603A4">
        <w:tc>
          <w:tcPr>
            <w:tcW w:w="1800" w:type="dxa"/>
          </w:tcPr>
          <w:p w:rsidR="00373EB0" w:rsidRDefault="00373EB0" w:rsidP="0036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00" w:type="dxa"/>
          </w:tcPr>
          <w:p w:rsidR="00373EB0" w:rsidRDefault="00373EB0" w:rsidP="0036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080" w:type="dxa"/>
          </w:tcPr>
          <w:p w:rsidR="00373EB0" w:rsidRDefault="00373EB0" w:rsidP="003603A4">
            <w:pPr>
              <w:jc w:val="center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373EB0" w:rsidRDefault="00373EB0" w:rsidP="003603A4">
            <w:pPr>
              <w:jc w:val="center"/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373EB0" w:rsidRDefault="00373EB0" w:rsidP="0036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00" w:type="dxa"/>
          </w:tcPr>
          <w:p w:rsidR="00373EB0" w:rsidRDefault="00373EB0" w:rsidP="00360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080" w:type="dxa"/>
          </w:tcPr>
          <w:p w:rsidR="00373EB0" w:rsidRDefault="00373EB0" w:rsidP="003603A4">
            <w:pPr>
              <w:jc w:val="center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080" w:type="dxa"/>
          </w:tcPr>
          <w:p w:rsidR="00373EB0" w:rsidRDefault="00373EB0" w:rsidP="003603A4">
            <w:pPr>
              <w:jc w:val="center"/>
            </w:pPr>
            <w:r>
              <w:rPr>
                <w:rFonts w:hint="eastAsia"/>
              </w:rPr>
              <w:t>管理方法</w:t>
            </w:r>
          </w:p>
        </w:tc>
      </w:tr>
      <w:tr w:rsidR="00373EB0" w:rsidTr="003603A4">
        <w:tc>
          <w:tcPr>
            <w:tcW w:w="18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</w:tr>
      <w:tr w:rsidR="00373EB0" w:rsidTr="003603A4">
        <w:tc>
          <w:tcPr>
            <w:tcW w:w="18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</w:tr>
      <w:tr w:rsidR="00373EB0" w:rsidTr="003603A4">
        <w:tc>
          <w:tcPr>
            <w:tcW w:w="18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</w:tr>
      <w:tr w:rsidR="00373EB0" w:rsidTr="003603A4">
        <w:tc>
          <w:tcPr>
            <w:tcW w:w="18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</w:tr>
      <w:tr w:rsidR="00373EB0" w:rsidTr="003603A4">
        <w:tc>
          <w:tcPr>
            <w:tcW w:w="18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</w:tr>
      <w:tr w:rsidR="00373EB0" w:rsidTr="003603A4">
        <w:tc>
          <w:tcPr>
            <w:tcW w:w="18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373EB0" w:rsidRDefault="00373EB0" w:rsidP="003603A4">
            <w:pPr>
              <w:rPr>
                <w:sz w:val="24"/>
              </w:rPr>
            </w:pPr>
          </w:p>
        </w:tc>
      </w:tr>
    </w:tbl>
    <w:p w:rsidR="00373EB0" w:rsidRDefault="00373EB0" w:rsidP="00373EB0">
      <w:pPr>
        <w:rPr>
          <w:sz w:val="24"/>
        </w:rPr>
      </w:pPr>
    </w:p>
    <w:p w:rsidR="00373EB0" w:rsidRDefault="00373EB0" w:rsidP="00373EB0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）定期点検</w:t>
      </w:r>
    </w:p>
    <w:p w:rsidR="00373EB0" w:rsidRDefault="00373EB0" w:rsidP="00373EB0">
      <w:pPr>
        <w:ind w:firstLineChars="250" w:firstLine="600"/>
        <w:rPr>
          <w:sz w:val="24"/>
        </w:rPr>
      </w:pPr>
      <w:r w:rsidRPr="00F03EDC">
        <w:rPr>
          <w:rFonts w:hint="eastAsia"/>
          <w:sz w:val="24"/>
        </w:rPr>
        <w:t>毎年自治会総会の日</w:t>
      </w:r>
      <w:r>
        <w:rPr>
          <w:rFonts w:hint="eastAsia"/>
          <w:sz w:val="24"/>
        </w:rPr>
        <w:t>若しくは市民大清掃の日を防災資機材の点検日とする。</w:t>
      </w:r>
    </w:p>
    <w:p w:rsidR="00373EB0" w:rsidRDefault="00373EB0" w:rsidP="00CC345D">
      <w:pPr>
        <w:ind w:firstLineChars="250" w:firstLine="600"/>
        <w:rPr>
          <w:sz w:val="24"/>
        </w:rPr>
      </w:pPr>
      <w:bookmarkStart w:id="0" w:name="_GoBack"/>
      <w:bookmarkEnd w:id="0"/>
    </w:p>
    <w:p w:rsidR="000101BE" w:rsidRDefault="000101BE"/>
    <w:sectPr w:rsidR="000101BE" w:rsidSect="008E06DF">
      <w:pgSz w:w="11906" w:h="16838" w:code="9"/>
      <w:pgMar w:top="851" w:right="567" w:bottom="28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5D" w:rsidRDefault="00CC345D" w:rsidP="00CC345D">
      <w:r>
        <w:separator/>
      </w:r>
    </w:p>
  </w:endnote>
  <w:endnote w:type="continuationSeparator" w:id="0">
    <w:p w:rsidR="00CC345D" w:rsidRDefault="00CC345D" w:rsidP="00CC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5D" w:rsidRDefault="00CC345D" w:rsidP="00CC345D">
      <w:r>
        <w:separator/>
      </w:r>
    </w:p>
  </w:footnote>
  <w:footnote w:type="continuationSeparator" w:id="0">
    <w:p w:rsidR="00CC345D" w:rsidRDefault="00CC345D" w:rsidP="00CC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8B0"/>
    <w:multiLevelType w:val="hybridMultilevel"/>
    <w:tmpl w:val="2EE46494"/>
    <w:lvl w:ilvl="0" w:tplc="22AA518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B0"/>
    <w:rsid w:val="000101BE"/>
    <w:rsid w:val="00373EB0"/>
    <w:rsid w:val="00C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B4D19"/>
  <w15:chartTrackingRefBased/>
  <w15:docId w15:val="{8A781DFF-4983-492C-AE91-82D4F93F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4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C3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4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和紘</dc:creator>
  <cp:keywords/>
  <dc:description/>
  <cp:lastModifiedBy>岩田 和紘</cp:lastModifiedBy>
  <cp:revision>2</cp:revision>
  <dcterms:created xsi:type="dcterms:W3CDTF">2023-09-08T05:12:00Z</dcterms:created>
  <dcterms:modified xsi:type="dcterms:W3CDTF">2023-09-08T07:38:00Z</dcterms:modified>
</cp:coreProperties>
</file>